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*The intent of this product is to be a resource; not a replacement for institutional protocols. Standard 1 of AmSECT’s Standards and Guidelines for Perfusion Practice.</w:t>
      </w:r>
      <w:r w:rsidDel="00000000" w:rsidR="00000000" w:rsidRPr="00000000">
        <w:rPr>
          <w:sz w:val="20"/>
          <w:szCs w:val="20"/>
          <w:vertAlign w:val="superscript"/>
          <w:rtl w:val="0"/>
        </w:rPr>
        <w:t xml:space="preserve">1 </w:t>
      </w:r>
      <w:r w:rsidDel="00000000" w:rsidR="00000000" w:rsidRPr="00000000">
        <w:rPr>
          <w:sz w:val="20"/>
          <w:szCs w:val="20"/>
          <w:rtl w:val="0"/>
        </w:rPr>
        <w:t xml:space="preserve">These Standards and Guidelines may also be superseded by the judgement of the healthcare professional taking into account the facts and circumstances of the individual case.</w:t>
      </w:r>
    </w:p>
    <w:p w:rsidR="00000000" w:rsidDel="00000000" w:rsidP="00000000" w:rsidRDefault="00000000" w:rsidRPr="00000000" w14:paraId="00000002">
      <w:pPr>
        <w:rPr/>
      </w:pPr>
      <w:r w:rsidDel="00000000" w:rsidR="00000000" w:rsidRPr="00000000">
        <w:rPr>
          <w:rtl w:val="0"/>
        </w:rPr>
      </w:r>
    </w:p>
    <w:tbl>
      <w:tblPr>
        <w:tblStyle w:val="Table1"/>
        <w:tblW w:w="9359.0" w:type="dxa"/>
        <w:jc w:val="left"/>
        <w:tblInd w:w="0.0" w:type="dxa"/>
        <w:tblLayout w:type="fixed"/>
        <w:tblLook w:val="0000"/>
      </w:tblPr>
      <w:tblGrid>
        <w:gridCol w:w="2069"/>
        <w:gridCol w:w="270"/>
        <w:gridCol w:w="7020"/>
        <w:tblGridChange w:id="0">
          <w:tblGrid>
            <w:gridCol w:w="2069"/>
            <w:gridCol w:w="270"/>
            <w:gridCol w:w="7020"/>
          </w:tblGrid>
        </w:tblGridChange>
      </w:tblGrid>
      <w:tr>
        <w:trPr>
          <w:trHeight w:val="238" w:hRule="atLeast"/>
        </w:trPr>
        <w:tc>
          <w:tcPr/>
          <w:p w:rsidR="00000000" w:rsidDel="00000000" w:rsidP="00000000" w:rsidRDefault="00000000" w:rsidRPr="00000000" w14:paraId="00000003">
            <w:pPr>
              <w:ind w:left="-108" w:firstLine="0"/>
              <w:rPr>
                <w:b w:val="1"/>
              </w:rPr>
            </w:pPr>
            <w:r w:rsidDel="00000000" w:rsidR="00000000" w:rsidRPr="00000000">
              <w:rPr>
                <w:b w:val="1"/>
                <w:rtl w:val="0"/>
              </w:rPr>
              <w:t xml:space="preserve">SUBJECT/TITLE</w:t>
            </w:r>
          </w:p>
        </w:tc>
        <w:tc>
          <w:tcPr>
            <w:gridSpan w:val="2"/>
          </w:tcPr>
          <w:p w:rsidR="00000000" w:rsidDel="00000000" w:rsidP="00000000" w:rsidRDefault="00000000" w:rsidRPr="00000000" w14:paraId="00000004">
            <w:pPr>
              <w:rPr>
                <w:b w:val="1"/>
              </w:rPr>
            </w:pPr>
            <w:r w:rsidDel="00000000" w:rsidR="00000000" w:rsidRPr="00000000">
              <w:rPr>
                <w:b w:val="1"/>
                <w:rtl w:val="0"/>
              </w:rPr>
              <w:t xml:space="preserve">ANGIOMAX (Bivalirudin)</w:t>
            </w:r>
          </w:p>
        </w:tc>
      </w:tr>
      <w:tr>
        <w:trPr>
          <w:trHeight w:val="238" w:hRule="atLeast"/>
        </w:trPr>
        <w:tc>
          <w:tcPr/>
          <w:p w:rsidR="00000000" w:rsidDel="00000000" w:rsidP="00000000" w:rsidRDefault="00000000" w:rsidRPr="00000000" w14:paraId="00000006">
            <w:pPr>
              <w:ind w:left="-108" w:firstLine="0"/>
              <w:rPr>
                <w:b w:val="1"/>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p>
        </w:tc>
      </w:tr>
      <w:tr>
        <w:trPr>
          <w:trHeight w:val="238" w:hRule="atLeast"/>
        </w:trPr>
        <w:tc>
          <w:tcPr/>
          <w:p w:rsidR="00000000" w:rsidDel="00000000" w:rsidP="00000000" w:rsidRDefault="00000000" w:rsidRPr="00000000" w14:paraId="00000009">
            <w:pPr>
              <w:ind w:left="-108" w:firstLine="0"/>
              <w:rPr>
                <w:b w:val="1"/>
              </w:rPr>
            </w:pPr>
            <w:r w:rsidDel="00000000" w:rsidR="00000000" w:rsidRPr="00000000">
              <w:rPr>
                <w:b w:val="1"/>
                <w:rtl w:val="0"/>
              </w:rPr>
              <w:t xml:space="preserve">PURPOSE:</w:t>
            </w:r>
          </w:p>
        </w:tc>
        <w:tc>
          <w:tcPr>
            <w:gridSpan w:val="2"/>
          </w:tcPr>
          <w:p w:rsidR="00000000" w:rsidDel="00000000" w:rsidP="00000000" w:rsidRDefault="00000000" w:rsidRPr="00000000" w14:paraId="0000000A">
            <w:pPr>
              <w:pStyle w:val="Heading4"/>
              <w:rPr>
                <w:i w:val="0"/>
                <w:color w:val="000000"/>
              </w:rPr>
            </w:pPr>
            <w:bookmarkStart w:colFirst="0" w:colLast="0" w:name="_heading=h.gjdgxs" w:id="0"/>
            <w:bookmarkEnd w:id="0"/>
            <w:r w:rsidDel="00000000" w:rsidR="00000000" w:rsidRPr="00000000">
              <w:rPr>
                <w:i w:val="0"/>
                <w:color w:val="000000"/>
                <w:rtl w:val="0"/>
              </w:rPr>
              <w:t xml:space="preserve">To describe alternative anticoagulation for patients unable to accept</w:t>
            </w:r>
          </w:p>
          <w:p w:rsidR="00000000" w:rsidDel="00000000" w:rsidP="00000000" w:rsidRDefault="00000000" w:rsidRPr="00000000" w14:paraId="0000000B">
            <w:pPr>
              <w:pStyle w:val="Heading4"/>
              <w:rPr>
                <w:i w:val="0"/>
                <w:color w:val="000000"/>
              </w:rPr>
            </w:pPr>
            <w:bookmarkStart w:colFirst="0" w:colLast="0" w:name="_heading=h.30j0zll" w:id="1"/>
            <w:bookmarkEnd w:id="1"/>
            <w:r w:rsidDel="00000000" w:rsidR="00000000" w:rsidRPr="00000000">
              <w:rPr>
                <w:i w:val="0"/>
                <w:color w:val="000000"/>
                <w:rtl w:val="0"/>
              </w:rPr>
              <w:t xml:space="preserve">heparin (unfractionated or fractionated).</w:t>
            </w:r>
          </w:p>
        </w:tc>
      </w:tr>
      <w:tr>
        <w:trPr>
          <w:trHeight w:val="238" w:hRule="atLeast"/>
        </w:trPr>
        <w:tc>
          <w:tcPr/>
          <w:p w:rsidR="00000000" w:rsidDel="00000000" w:rsidP="00000000" w:rsidRDefault="00000000" w:rsidRPr="00000000" w14:paraId="0000000D">
            <w:pPr>
              <w:ind w:left="-108" w:firstLine="0"/>
              <w:rPr>
                <w:b w:val="1"/>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r>
      <w:tr>
        <w:trPr>
          <w:trHeight w:val="477" w:hRule="atLeast"/>
        </w:trPr>
        <w:tc>
          <w:tcPr/>
          <w:p w:rsidR="00000000" w:rsidDel="00000000" w:rsidP="00000000" w:rsidRDefault="00000000" w:rsidRPr="00000000" w14:paraId="00000010">
            <w:pPr>
              <w:widowControl w:val="0"/>
              <w:tabs>
                <w:tab w:val="left" w:pos="576"/>
              </w:tabs>
              <w:ind w:left="-108" w:firstLine="0"/>
              <w:rPr>
                <w:b w:val="1"/>
              </w:rPr>
            </w:pPr>
            <w:r w:rsidDel="00000000" w:rsidR="00000000" w:rsidRPr="00000000">
              <w:rPr>
                <w:b w:val="1"/>
                <w:rtl w:val="0"/>
              </w:rPr>
              <w:t xml:space="preserve">TARGET POPULATION:</w:t>
            </w:r>
          </w:p>
        </w:tc>
        <w:tc>
          <w:tcPr>
            <w:gridSpan w:val="2"/>
          </w:tcPr>
          <w:p w:rsidR="00000000" w:rsidDel="00000000" w:rsidP="00000000" w:rsidRDefault="00000000" w:rsidRPr="00000000" w14:paraId="00000011">
            <w:pPr>
              <w:rPr/>
            </w:pPr>
            <w:r w:rsidDel="00000000" w:rsidR="00000000" w:rsidRPr="00000000">
              <w:rPr>
                <w:rtl w:val="0"/>
              </w:rPr>
              <w:t xml:space="preserve">Patients unable to accept unfractionated heparin.</w:t>
            </w:r>
          </w:p>
        </w:tc>
      </w:tr>
      <w:tr>
        <w:trPr>
          <w:trHeight w:val="238" w:hRule="atLeast"/>
        </w:trPr>
        <w:tc>
          <w:tcPr/>
          <w:p w:rsidR="00000000" w:rsidDel="00000000" w:rsidP="00000000" w:rsidRDefault="00000000" w:rsidRPr="00000000" w14:paraId="00000013">
            <w:pPr>
              <w:ind w:left="-108" w:firstLine="0"/>
              <w:rPr>
                <w:b w:val="1"/>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r>
      <w:tr>
        <w:trPr>
          <w:trHeight w:val="2070" w:hRule="atLeast"/>
        </w:trPr>
        <w:tc>
          <w:tcPr/>
          <w:p w:rsidR="00000000" w:rsidDel="00000000" w:rsidP="00000000" w:rsidRDefault="00000000" w:rsidRPr="00000000" w14:paraId="00000016">
            <w:pPr>
              <w:ind w:left="-108" w:firstLine="0"/>
              <w:rPr>
                <w:b w:val="1"/>
              </w:rPr>
            </w:pPr>
            <w:r w:rsidDel="00000000" w:rsidR="00000000" w:rsidRPr="00000000">
              <w:rPr>
                <w:b w:val="1"/>
                <w:rtl w:val="0"/>
              </w:rPr>
              <w:t xml:space="preserve">DEFINITIONS:</w:t>
            </w:r>
          </w:p>
        </w:tc>
        <w:tc>
          <w:tcPr>
            <w:gridSpan w:val="2"/>
          </w:tcPr>
          <w:p w:rsidR="00000000" w:rsidDel="00000000" w:rsidP="00000000" w:rsidRDefault="00000000" w:rsidRPr="00000000" w14:paraId="00000017">
            <w:pPr>
              <w:ind w:left="0" w:firstLine="0"/>
              <w:rPr/>
            </w:pPr>
            <w:r w:rsidDel="00000000" w:rsidR="00000000" w:rsidRPr="00000000">
              <w:rPr>
                <w:rtl w:val="0"/>
              </w:rPr>
              <w:t xml:space="preserve">Angiomax ® (Bivalirudin) is an anticoagulant used in patients with a diagnosis of heparin-induced thrombocytopenia/heparin-induced thrombocytopenia thrombotic syndrome (HIT/HITTS) undergoing cardiac surgery with cardiopulmonary bypass support (CPB). </w:t>
            </w:r>
          </w:p>
          <w:p w:rsidR="00000000" w:rsidDel="00000000" w:rsidP="00000000" w:rsidRDefault="00000000" w:rsidRPr="00000000" w14:paraId="00000018">
            <w:pPr>
              <w:ind w:left="0" w:firstLine="0"/>
              <w:rPr/>
            </w:pPr>
            <w:r w:rsidDel="00000000" w:rsidR="00000000" w:rsidRPr="00000000">
              <w:rPr>
                <w:rtl w:val="0"/>
              </w:rPr>
              <w:t xml:space="preserve">Angiomax ® (Bivalirudin) is a direct thrombin inhibitor that undergoes reversal in a short time frame without the need for a pharmacological reversal agent. (Protamine does not reverse Angiomax)</w:t>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b w:val="1"/>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pPr>
      <w:r w:rsidDel="00000000" w:rsidR="00000000" w:rsidRPr="00000000">
        <w:rPr>
          <w:b w:val="1"/>
          <w:rtl w:val="0"/>
        </w:rPr>
        <w:t xml:space="preserve">PERFUSION PUMP CONSIDERATIONS: </w:t>
      </w:r>
      <w:r w:rsidDel="00000000" w:rsidR="00000000" w:rsidRPr="00000000">
        <w:rPr>
          <w:rtl w:val="0"/>
        </w:rPr>
        <w:t xml:space="preserve">see Procedure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POLICY: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rPr/>
      </w:pPr>
      <w:r w:rsidDel="00000000" w:rsidR="00000000" w:rsidRPr="00000000">
        <w:rPr>
          <w:rtl w:val="0"/>
        </w:rPr>
        <w:t xml:space="preserve">The use of Angiomax (Bivalirudin) for HIT patients is considered off-label use for extracorporeal support. The use of this medication must be </w:t>
      </w:r>
      <w:r w:rsidDel="00000000" w:rsidR="00000000" w:rsidRPr="00000000">
        <w:rPr>
          <w:rtl w:val="0"/>
        </w:rPr>
        <w:t xml:space="preserve">authorized by the operating surgeon</w:t>
      </w:r>
      <w:r w:rsidDel="00000000" w:rsidR="00000000" w:rsidRPr="00000000">
        <w:rPr>
          <w:rtl w:val="0"/>
        </w:rPr>
        <w:t xml:space="preserve"> and utilized following institutional protocol.</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The use of Angiomax (Bivalirudin) during cardiac surgery for anticoagulation requires specific preoperative, intraoperative and postoperative actions. This is due to its alternative mechanism of action and metabolism when compared to standard unfractionated heparin anticoagulation.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Angiomax (Bivalirudin) is often used due to its rapid onset, short half-life, lack of antibody formation, and low side effect profile.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The half-life of bivalirudin also allows for a shorter time needed to achieve a goal therapeutic aPTT.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Limitations for bivalirudin use include possible excessive bleeding due to lack of antidote, </w:t>
      </w:r>
      <w:r w:rsidDel="00000000" w:rsidR="00000000" w:rsidRPr="00000000">
        <w:rPr>
          <w:b w:val="1"/>
          <w:rtl w:val="0"/>
        </w:rPr>
        <w:t xml:space="preserve">Protamine does not reverse Angiomax</w:t>
      </w:r>
      <w:r w:rsidDel="00000000" w:rsidR="00000000" w:rsidRPr="00000000">
        <w:rPr>
          <w:rtl w:val="0"/>
        </w:rPr>
        <w:t xml:space="preserve"> (Bivalirudin), prolonged effect with renal dysfunction, and difficulty in monitoring.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Angiomax (Bivalirudin) has limited dependence on renal mechanisms for elimination, suggesting that this agent may be better suited than some alternatives in patients with renal dysfunction.</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Anticoagulation management should be determined by the surgeon prior to surgery.</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rPr/>
      </w:pPr>
      <w:r w:rsidDel="00000000" w:rsidR="00000000" w:rsidRPr="00000000">
        <w:rPr>
          <w:rtl w:val="0"/>
        </w:rPr>
        <w:t xml:space="preserve">Adjustments in plasma concentration of Bivalirudin are best achieved with bolus dosing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b w:val="1"/>
        </w:rPr>
      </w:pPr>
      <w:r w:rsidDel="00000000" w:rsidR="00000000" w:rsidRPr="00000000">
        <w:rPr>
          <w:b w:val="1"/>
          <w:i w:val="0"/>
          <w:smallCaps w:val="0"/>
          <w:strike w:val="0"/>
          <w:color w:val="000000"/>
          <w:u w:val="none"/>
          <w:shd w:fill="auto" w:val="clear"/>
          <w:vertAlign w:val="baseline"/>
          <w:rtl w:val="0"/>
        </w:rPr>
        <w:t xml:space="preserve">PROCEDURE: </w:t>
      </w: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b w:val="1"/>
          <w:rtl w:val="0"/>
        </w:rPr>
        <w:t xml:space="preserve">Bivalirudin Dosing Schedule: </w:t>
      </w:r>
      <w:r w:rsidDel="00000000" w:rsidR="00000000" w:rsidRPr="00000000">
        <w:rPr>
          <w:b w:val="1"/>
          <w:i w:val="1"/>
          <w:rtl w:val="0"/>
        </w:rPr>
        <w:t xml:space="preserve">On-Pump Considerations: </w:t>
      </w:r>
    </w:p>
    <w:p w:rsidR="00000000" w:rsidDel="00000000" w:rsidP="00000000" w:rsidRDefault="00000000" w:rsidRPr="00000000" w14:paraId="00000027">
      <w:pPr>
        <w:rPr>
          <w:b w:val="1"/>
          <w:i w:val="1"/>
        </w:rPr>
      </w:pPr>
      <w:r w:rsidDel="00000000" w:rsidR="00000000" w:rsidRPr="00000000">
        <w:rPr>
          <w:rtl w:val="0"/>
        </w:rPr>
      </w:r>
    </w:p>
    <w:p w:rsidR="00000000" w:rsidDel="00000000" w:rsidP="00000000" w:rsidRDefault="00000000" w:rsidRPr="00000000" w14:paraId="00000028">
      <w:pPr>
        <w:numPr>
          <w:ilvl w:val="0"/>
          <w:numId w:val="4"/>
        </w:numPr>
        <w:ind w:left="720" w:hanging="360"/>
        <w:rPr/>
      </w:pPr>
      <w:r w:rsidDel="00000000" w:rsidR="00000000" w:rsidRPr="00000000">
        <w:rPr>
          <w:b w:val="1"/>
          <w:u w:val="single"/>
          <w:rtl w:val="0"/>
        </w:rPr>
        <w:t xml:space="preserve">Before</w:t>
      </w:r>
      <w:r w:rsidDel="00000000" w:rsidR="00000000" w:rsidRPr="00000000">
        <w:rPr>
          <w:b w:val="1"/>
          <w:rtl w:val="0"/>
        </w:rPr>
        <w:t xml:space="preserve"> initiation of cardiopulmonary bypass:</w:t>
      </w:r>
    </w:p>
    <w:p w:rsidR="00000000" w:rsidDel="00000000" w:rsidP="00000000" w:rsidRDefault="00000000" w:rsidRPr="00000000" w14:paraId="00000029">
      <w:pPr>
        <w:numPr>
          <w:ilvl w:val="1"/>
          <w:numId w:val="4"/>
        </w:numPr>
        <w:ind w:left="1440" w:hanging="360"/>
        <w:rPr/>
      </w:pPr>
      <w:r w:rsidDel="00000000" w:rsidR="00000000" w:rsidRPr="00000000">
        <w:rPr>
          <w:rtl w:val="0"/>
        </w:rPr>
        <w:t xml:space="preserve">A bolus of 50 mg Bivalirudin is added to the circuit. </w:t>
      </w:r>
      <w:r w:rsidDel="00000000" w:rsidR="00000000" w:rsidRPr="00000000">
        <w:rPr>
          <w:rtl w:val="0"/>
        </w:rPr>
      </w:r>
    </w:p>
    <w:p w:rsidR="00000000" w:rsidDel="00000000" w:rsidP="00000000" w:rsidRDefault="00000000" w:rsidRPr="00000000" w14:paraId="0000002A">
      <w:pPr>
        <w:numPr>
          <w:ilvl w:val="2"/>
          <w:numId w:val="4"/>
        </w:numPr>
        <w:ind w:left="2160" w:hanging="360"/>
        <w:rPr>
          <w:rFonts w:ascii="Arial" w:cs="Arial" w:eastAsia="Arial" w:hAnsi="Arial"/>
        </w:rPr>
      </w:pPr>
      <w:r w:rsidDel="00000000" w:rsidR="00000000" w:rsidRPr="00000000">
        <w:rPr>
          <w:rtl w:val="0"/>
        </w:rPr>
        <w:t xml:space="preserve">Give regardless of patient weight or volume of the prime</w:t>
      </w:r>
      <w:r w:rsidDel="00000000" w:rsidR="00000000" w:rsidRPr="00000000">
        <w:rPr>
          <w:rtl w:val="0"/>
        </w:rPr>
      </w:r>
    </w:p>
    <w:p w:rsidR="00000000" w:rsidDel="00000000" w:rsidP="00000000" w:rsidRDefault="00000000" w:rsidRPr="00000000" w14:paraId="0000002B">
      <w:pPr>
        <w:numPr>
          <w:ilvl w:val="1"/>
          <w:numId w:val="4"/>
        </w:numPr>
        <w:ind w:left="1440" w:hanging="360"/>
        <w:rPr/>
      </w:pPr>
      <w:r w:rsidDel="00000000" w:rsidR="00000000" w:rsidRPr="00000000">
        <w:rPr>
          <w:rtl w:val="0"/>
        </w:rPr>
        <w:t xml:space="preserve">Bolus dose of 1.0 mg/kg IV - before surgical incision</w:t>
      </w:r>
      <w:r w:rsidDel="00000000" w:rsidR="00000000" w:rsidRPr="00000000">
        <w:rPr>
          <w:rtl w:val="0"/>
        </w:rPr>
      </w:r>
    </w:p>
    <w:p w:rsidR="00000000" w:rsidDel="00000000" w:rsidP="00000000" w:rsidRDefault="00000000" w:rsidRPr="00000000" w14:paraId="0000002C">
      <w:pPr>
        <w:numPr>
          <w:ilvl w:val="1"/>
          <w:numId w:val="4"/>
        </w:numPr>
        <w:ind w:left="1440" w:hanging="360"/>
        <w:rPr/>
      </w:pPr>
      <w:r w:rsidDel="00000000" w:rsidR="00000000" w:rsidRPr="00000000">
        <w:rPr>
          <w:rtl w:val="0"/>
        </w:rPr>
        <w:t xml:space="preserve">Infusion of 2.5 mg/kg/hr for the duration of the planned anticoagulation period.</w:t>
      </w:r>
      <w:r w:rsidDel="00000000" w:rsidR="00000000" w:rsidRPr="00000000">
        <w:rPr>
          <w:rtl w:val="0"/>
        </w:rPr>
      </w:r>
    </w:p>
    <w:p w:rsidR="00000000" w:rsidDel="00000000" w:rsidP="00000000" w:rsidRDefault="00000000" w:rsidRPr="00000000" w14:paraId="0000002D">
      <w:pPr>
        <w:numPr>
          <w:ilvl w:val="2"/>
          <w:numId w:val="4"/>
        </w:numPr>
        <w:ind w:left="2160" w:hanging="360"/>
        <w:rPr>
          <w:rFonts w:ascii="Arial" w:cs="Arial" w:eastAsia="Arial" w:hAnsi="Arial"/>
        </w:rPr>
      </w:pPr>
      <w:r w:rsidDel="00000000" w:rsidR="00000000" w:rsidRPr="00000000">
        <w:rPr>
          <w:rtl w:val="0"/>
        </w:rPr>
        <w:t xml:space="preserve">This should achieve a mean steady state plasma Bivalirudin concentration of +12.3 ± 1.7mcg/mL.</w:t>
      </w:r>
      <w:r w:rsidDel="00000000" w:rsidR="00000000" w:rsidRPr="00000000">
        <w:rPr>
          <w:rtl w:val="0"/>
        </w:rPr>
      </w:r>
    </w:p>
    <w:p w:rsidR="00000000" w:rsidDel="00000000" w:rsidP="00000000" w:rsidRDefault="00000000" w:rsidRPr="00000000" w14:paraId="0000002E">
      <w:pPr>
        <w:numPr>
          <w:ilvl w:val="1"/>
          <w:numId w:val="4"/>
        </w:numPr>
        <w:ind w:left="1440" w:hanging="360"/>
        <w:rPr/>
      </w:pPr>
      <w:r w:rsidDel="00000000" w:rsidR="00000000" w:rsidRPr="00000000">
        <w:rPr>
          <w:rtl w:val="0"/>
        </w:rPr>
        <w:t xml:space="preserve">ACT should be </w:t>
      </w:r>
      <w:r w:rsidDel="00000000" w:rsidR="00000000" w:rsidRPr="00000000">
        <w:rPr>
          <w:highlight w:val="white"/>
          <w:rtl w:val="0"/>
        </w:rPr>
        <w:t xml:space="preserve">2.5x baseline or  &gt;350 seconds</w:t>
      </w:r>
      <w:r w:rsidDel="00000000" w:rsidR="00000000" w:rsidRPr="00000000">
        <w:rPr>
          <w:rtl w:val="0"/>
        </w:rPr>
      </w:r>
    </w:p>
    <w:p w:rsidR="00000000" w:rsidDel="00000000" w:rsidP="00000000" w:rsidRDefault="00000000" w:rsidRPr="00000000" w14:paraId="0000002F">
      <w:pPr>
        <w:numPr>
          <w:ilvl w:val="0"/>
          <w:numId w:val="4"/>
        </w:numPr>
        <w:ind w:left="720" w:hanging="360"/>
        <w:rPr/>
      </w:pPr>
      <w:r w:rsidDel="00000000" w:rsidR="00000000" w:rsidRPr="00000000">
        <w:rPr>
          <w:rtl w:val="0"/>
        </w:rPr>
        <w:t xml:space="preserve">Redosing/maintenance:</w:t>
      </w:r>
      <w:r w:rsidDel="00000000" w:rsidR="00000000" w:rsidRPr="00000000">
        <w:rPr>
          <w:rtl w:val="0"/>
        </w:rPr>
      </w:r>
    </w:p>
    <w:p w:rsidR="00000000" w:rsidDel="00000000" w:rsidP="00000000" w:rsidRDefault="00000000" w:rsidRPr="00000000" w14:paraId="00000030">
      <w:pPr>
        <w:numPr>
          <w:ilvl w:val="1"/>
          <w:numId w:val="4"/>
        </w:numPr>
        <w:ind w:left="1440" w:hanging="360"/>
        <w:rPr/>
      </w:pPr>
      <w:r w:rsidDel="00000000" w:rsidR="00000000" w:rsidRPr="00000000">
        <w:rPr>
          <w:rtl w:val="0"/>
        </w:rPr>
        <w:t xml:space="preserve">If a higher level of anticoagulation is desired, administer additional boluses of 0.1-0.5 mg/kg. These can be repeated as clinically indicated. </w:t>
      </w:r>
      <w:r w:rsidDel="00000000" w:rsidR="00000000" w:rsidRPr="00000000">
        <w:rPr>
          <w:rtl w:val="0"/>
        </w:rPr>
      </w:r>
    </w:p>
    <w:p w:rsidR="00000000" w:rsidDel="00000000" w:rsidP="00000000" w:rsidRDefault="00000000" w:rsidRPr="00000000" w14:paraId="00000031">
      <w:pPr>
        <w:numPr>
          <w:ilvl w:val="0"/>
          <w:numId w:val="4"/>
        </w:numPr>
        <w:ind w:left="720" w:hanging="360"/>
        <w:rPr/>
      </w:pPr>
      <w:r w:rsidDel="00000000" w:rsidR="00000000" w:rsidRPr="00000000">
        <w:rPr>
          <w:rtl w:val="0"/>
        </w:rPr>
        <w:t xml:space="preserve">Discontinuation of Bivalirudin Support:</w:t>
      </w:r>
      <w:r w:rsidDel="00000000" w:rsidR="00000000" w:rsidRPr="00000000">
        <w:rPr>
          <w:rtl w:val="0"/>
        </w:rPr>
      </w:r>
    </w:p>
    <w:p w:rsidR="00000000" w:rsidDel="00000000" w:rsidP="00000000" w:rsidRDefault="00000000" w:rsidRPr="00000000" w14:paraId="00000032">
      <w:pPr>
        <w:numPr>
          <w:ilvl w:val="1"/>
          <w:numId w:val="4"/>
        </w:numPr>
        <w:ind w:left="1440" w:hanging="360"/>
        <w:rPr/>
      </w:pPr>
      <w:r w:rsidDel="00000000" w:rsidR="00000000" w:rsidRPr="00000000">
        <w:rPr>
          <w:rtl w:val="0"/>
        </w:rPr>
        <w:t xml:space="preserve">Approximately 15 minutes before coming off bypass, discontinuation may be considered, discuss with the surgical team. </w:t>
      </w:r>
      <w:r w:rsidDel="00000000" w:rsidR="00000000" w:rsidRPr="00000000">
        <w:rPr>
          <w:rtl w:val="0"/>
        </w:rPr>
      </w:r>
    </w:p>
    <w:p w:rsidR="00000000" w:rsidDel="00000000" w:rsidP="00000000" w:rsidRDefault="00000000" w:rsidRPr="00000000" w14:paraId="00000033">
      <w:pPr>
        <w:numPr>
          <w:ilvl w:val="1"/>
          <w:numId w:val="4"/>
        </w:numPr>
        <w:ind w:left="1440" w:hanging="360"/>
        <w:rPr/>
      </w:pPr>
      <w:r w:rsidDel="00000000" w:rsidR="00000000" w:rsidRPr="00000000">
        <w:rPr>
          <w:rtl w:val="0"/>
        </w:rPr>
        <w:t xml:space="preserve">Or, discontinue the use of Bivalirudin at weaning, then use Modified Ultrafiltration (MUF) once off CPB to remove any remaining Bivalirudin</w:t>
      </w:r>
    </w:p>
    <w:p w:rsidR="00000000" w:rsidDel="00000000" w:rsidP="00000000" w:rsidRDefault="00000000" w:rsidRPr="00000000" w14:paraId="00000034">
      <w:pPr>
        <w:numPr>
          <w:ilvl w:val="2"/>
          <w:numId w:val="4"/>
        </w:numPr>
        <w:ind w:left="2160" w:hanging="360"/>
        <w:rPr/>
      </w:pPr>
      <w:r w:rsidDel="00000000" w:rsidR="00000000" w:rsidRPr="00000000">
        <w:rPr>
          <w:rtl w:val="0"/>
        </w:rPr>
        <w:t xml:space="preserve">Remaining conscious of the lack of anticoagulation as MUF is used. </w:t>
      </w:r>
      <w:r w:rsidDel="00000000" w:rsidR="00000000" w:rsidRPr="00000000">
        <w:rPr>
          <w:rtl w:val="0"/>
        </w:rPr>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After terminating CPB, if </w:t>
      </w:r>
      <w:r w:rsidDel="00000000" w:rsidR="00000000" w:rsidRPr="00000000">
        <w:rPr>
          <w:u w:val="single"/>
          <w:rtl w:val="0"/>
        </w:rPr>
        <w:t xml:space="preserve">re-initiation</w:t>
      </w:r>
      <w:r w:rsidDel="00000000" w:rsidR="00000000" w:rsidRPr="00000000">
        <w:rPr>
          <w:rtl w:val="0"/>
        </w:rPr>
        <w:t xml:space="preserve"> is required:</w:t>
      </w:r>
      <w:r w:rsidDel="00000000" w:rsidR="00000000" w:rsidRPr="00000000">
        <w:rPr>
          <w:rtl w:val="0"/>
        </w:rPr>
      </w:r>
    </w:p>
    <w:p w:rsidR="00000000" w:rsidDel="00000000" w:rsidP="00000000" w:rsidRDefault="00000000" w:rsidRPr="00000000" w14:paraId="00000036">
      <w:pPr>
        <w:numPr>
          <w:ilvl w:val="1"/>
          <w:numId w:val="4"/>
        </w:numPr>
        <w:ind w:left="1440" w:hanging="360"/>
        <w:rPr/>
      </w:pPr>
      <w:r w:rsidDel="00000000" w:rsidR="00000000" w:rsidRPr="00000000">
        <w:rPr>
          <w:rtl w:val="0"/>
        </w:rPr>
        <w:t xml:space="preserve">50 mg bolus of Bivalirudin should be put into the pump circuit</w:t>
      </w:r>
      <w:r w:rsidDel="00000000" w:rsidR="00000000" w:rsidRPr="00000000">
        <w:rPr>
          <w:rtl w:val="0"/>
        </w:rPr>
      </w:r>
    </w:p>
    <w:p w:rsidR="00000000" w:rsidDel="00000000" w:rsidP="00000000" w:rsidRDefault="00000000" w:rsidRPr="00000000" w14:paraId="00000037">
      <w:pPr>
        <w:numPr>
          <w:ilvl w:val="1"/>
          <w:numId w:val="4"/>
        </w:numPr>
        <w:ind w:left="1440" w:hanging="360"/>
        <w:rPr/>
      </w:pPr>
      <w:r w:rsidDel="00000000" w:rsidR="00000000" w:rsidRPr="00000000">
        <w:rPr>
          <w:rtl w:val="0"/>
        </w:rPr>
        <w:t xml:space="preserve">Followed by a continuous infusion of 50 mg/hr</w:t>
      </w:r>
      <w:r w:rsidDel="00000000" w:rsidR="00000000" w:rsidRPr="00000000">
        <w:rPr>
          <w:rtl w:val="0"/>
        </w:rPr>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If it is clear that a return to CPB will not be needed, then the volume in the circuit should be sent to the cell saver for processing before re-administration to the patient.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i w:val="1"/>
          <w:u w:val="single"/>
        </w:rPr>
      </w:pPr>
      <w:r w:rsidDel="00000000" w:rsidR="00000000" w:rsidRPr="00000000">
        <w:rPr>
          <w:b w:val="1"/>
          <w:rtl w:val="0"/>
        </w:rPr>
        <w:t xml:space="preserve">Bivalirudin Dosing Schedule: </w:t>
      </w:r>
      <w:r w:rsidDel="00000000" w:rsidR="00000000" w:rsidRPr="00000000">
        <w:rPr>
          <w:b w:val="1"/>
          <w:i w:val="1"/>
          <w:rtl w:val="0"/>
        </w:rPr>
        <w:t xml:space="preserve">Off-Pump Considerations:</w:t>
      </w:r>
      <w:r w:rsidDel="00000000" w:rsidR="00000000" w:rsidRPr="00000000">
        <w:rPr>
          <w:b w:val="1"/>
          <w:i w:val="1"/>
          <w:u w:val="single"/>
          <w:rtl w:val="0"/>
        </w:rPr>
        <w:t xml:space="preserve"> </w:t>
      </w:r>
    </w:p>
    <w:p w:rsidR="00000000" w:rsidDel="00000000" w:rsidP="00000000" w:rsidRDefault="00000000" w:rsidRPr="00000000" w14:paraId="0000003B">
      <w:pPr>
        <w:rPr>
          <w:b w:val="1"/>
          <w:i w:val="1"/>
          <w:u w:val="single"/>
        </w:rPr>
      </w:pPr>
      <w:r w:rsidDel="00000000" w:rsidR="00000000" w:rsidRPr="00000000">
        <w:rPr>
          <w:rtl w:val="0"/>
        </w:rPr>
      </w:r>
    </w:p>
    <w:p w:rsidR="00000000" w:rsidDel="00000000" w:rsidP="00000000" w:rsidRDefault="00000000" w:rsidRPr="00000000" w14:paraId="0000003C">
      <w:pPr>
        <w:numPr>
          <w:ilvl w:val="0"/>
          <w:numId w:val="5"/>
        </w:numPr>
        <w:ind w:left="720" w:hanging="360"/>
        <w:rPr/>
      </w:pPr>
      <w:r w:rsidDel="00000000" w:rsidR="00000000" w:rsidRPr="00000000">
        <w:rPr>
          <w:rtl w:val="0"/>
        </w:rPr>
        <w:t xml:space="preserve">The dosing below is based on achieving a goal ACT of &gt;300 seconds.</w:t>
      </w:r>
    </w:p>
    <w:p w:rsidR="00000000" w:rsidDel="00000000" w:rsidP="00000000" w:rsidRDefault="00000000" w:rsidRPr="00000000" w14:paraId="0000003D">
      <w:pPr>
        <w:numPr>
          <w:ilvl w:val="1"/>
          <w:numId w:val="5"/>
        </w:numPr>
        <w:ind w:left="1440" w:hanging="360"/>
        <w:rPr/>
      </w:pPr>
      <w:r w:rsidDel="00000000" w:rsidR="00000000" w:rsidRPr="00000000">
        <w:rPr>
          <w:rtl w:val="0"/>
        </w:rPr>
        <w:t xml:space="preserve">Bolus dose of 0.75 mg/kg IV - before chest incision</w:t>
      </w:r>
    </w:p>
    <w:p w:rsidR="00000000" w:rsidDel="00000000" w:rsidP="00000000" w:rsidRDefault="00000000" w:rsidRPr="00000000" w14:paraId="0000003E">
      <w:pPr>
        <w:numPr>
          <w:ilvl w:val="1"/>
          <w:numId w:val="5"/>
        </w:numPr>
        <w:ind w:left="1440" w:hanging="360"/>
        <w:rPr/>
      </w:pPr>
      <w:r w:rsidDel="00000000" w:rsidR="00000000" w:rsidRPr="00000000">
        <w:rPr>
          <w:rtl w:val="0"/>
        </w:rPr>
        <w:t xml:space="preserve">Infusion of 1.75 mg/kg/hr</w:t>
      </w:r>
    </w:p>
    <w:p w:rsidR="00000000" w:rsidDel="00000000" w:rsidP="00000000" w:rsidRDefault="00000000" w:rsidRPr="00000000" w14:paraId="0000003F">
      <w:pPr>
        <w:ind w:left="1440" w:firstLine="0"/>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b w:val="1"/>
          <w:rtl w:val="0"/>
        </w:rPr>
        <w:t xml:space="preserve">CLINICAL ASSESSMENT/SCREENING:</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i w:val="0"/>
          <w:smallCaps w:val="0"/>
          <w:strike w:val="0"/>
          <w:color w:val="000000"/>
          <w:u w:val="none"/>
          <w:shd w:fill="auto" w:val="clear"/>
          <w:vertAlign w:val="baseline"/>
          <w:rtl w:val="0"/>
        </w:rPr>
        <w:t xml:space="preserve">Contraindications: </w:t>
      </w:r>
      <w:r w:rsidDel="00000000" w:rsidR="00000000" w:rsidRPr="00000000">
        <w:rPr>
          <w:i w:val="0"/>
          <w:smallCaps w:val="0"/>
          <w:strike w:val="0"/>
          <w:color w:val="000000"/>
          <w:u w:val="none"/>
          <w:vertAlign w:val="baseline"/>
          <w:rtl w:val="0"/>
        </w:rPr>
        <w:t xml:space="preserve">None</w:t>
      </w: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t xml:space="preserve">RELATED DOCUMENTS: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rtl w:val="0"/>
        </w:rPr>
        <w:t xml:space="preserve">Heparin Induced Thrombocytopenia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rPr/>
      </w:pPr>
      <w:r w:rsidDel="00000000" w:rsidR="00000000" w:rsidRPr="00000000">
        <w:rPr>
          <w:rtl w:val="0"/>
        </w:rPr>
        <w:t xml:space="preserve">Anticoagulation for Adult Cardiopulmonary Bypass </w:t>
      </w:r>
    </w:p>
    <w:p w:rsidR="00000000" w:rsidDel="00000000" w:rsidP="00000000" w:rsidRDefault="00000000" w:rsidRPr="00000000" w14:paraId="00000045">
      <w:pPr>
        <w:pStyle w:val="Heading1"/>
        <w:rPr>
          <w:b w:val="0"/>
          <w:i w:val="1"/>
          <w:color w:val="ff0000"/>
        </w:rPr>
      </w:pPr>
      <w:bookmarkStart w:colFirst="0" w:colLast="0" w:name="_heading=h.1fob9te" w:id="2"/>
      <w:bookmarkEnd w:id="2"/>
      <w:r w:rsidDel="00000000" w:rsidR="00000000" w:rsidRPr="00000000">
        <w:rPr>
          <w:rtl w:val="0"/>
        </w:rPr>
        <w:t xml:space="preserve">REFERENCES: </w:t>
      </w:r>
      <w:r w:rsidDel="00000000" w:rsidR="00000000" w:rsidRPr="00000000">
        <w:rPr>
          <w:rtl w:val="0"/>
        </w:rPr>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Baker RA, Bronson SL, Dickinson TA, et al. Report from AmSECT's International Consortium for Evidence-Based Perfusion: American Society of Extracorporeal Technology Standards and Guidelines for Perfusion Practice: 2013. J Extra Corpor Technol. 2013;45(3):156-66.</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Ibrahim, W., Nakia, H., Stephen, M., Bruce, S., Bryan, W., &amp;; William, P. (2018). A Patient With Remote Heparin-Induced Thrombocytopenia and Antiphospholipid Syndrome Requiring Cardiopulmonary Bypass: Do Current Guidelines Apply? Seminars in Cardiothoracic and Vascular Anesthesia.</w:t>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Tsu, L. V., &amp;; Dager, W. E. (2011). Bivalirudin Dosing Adjustments for Reduced Renal Function with or Without Hemodialysis in the Management of Heparin-Induced Thrombocytopenia. Annals of Pharmacotherapy,45(10), 1185-1192.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rPr/>
      </w:pPr>
      <w:bookmarkStart w:colFirst="0" w:colLast="0" w:name="_heading=h.3znysh7" w:id="3"/>
      <w:bookmarkEnd w:id="3"/>
      <w:r w:rsidDel="00000000" w:rsidR="00000000" w:rsidRPr="00000000">
        <w:rPr>
          <w:rtl w:val="0"/>
        </w:rPr>
        <w:t xml:space="preserve">DISCLAIMER:</w:t>
      </w:r>
    </w:p>
    <w:p w:rsidR="00000000" w:rsidDel="00000000" w:rsidP="00000000" w:rsidRDefault="00000000" w:rsidRPr="00000000" w14:paraId="0000004B">
      <w:pPr>
        <w:rPr>
          <w:color w:val="26282a"/>
          <w:highlight w:val="white"/>
        </w:rPr>
      </w:pPr>
      <w:r w:rsidDel="00000000" w:rsidR="00000000" w:rsidRPr="00000000">
        <w:rPr>
          <w:color w:val="26282a"/>
          <w:highlight w:val="white"/>
          <w:rtl w:val="0"/>
        </w:rPr>
        <w:t xml:space="preserve">In emergency situations, immediate life support measures of whatever appropriate nature come first with attention turning to measures described in this protocol/process as soon as possible and practical. </w:t>
      </w:r>
    </w:p>
    <w:p w:rsidR="00000000" w:rsidDel="00000000" w:rsidP="00000000" w:rsidRDefault="00000000" w:rsidRPr="00000000" w14:paraId="0000004C">
      <w:pPr>
        <w:rPr>
          <w:color w:val="26282a"/>
          <w:highlight w:val="white"/>
        </w:rPr>
      </w:pPr>
      <w:r w:rsidDel="00000000" w:rsidR="00000000" w:rsidRPr="00000000">
        <w:rPr>
          <w:rtl w:val="0"/>
        </w:rPr>
      </w:r>
    </w:p>
    <w:p w:rsidR="00000000" w:rsidDel="00000000" w:rsidP="00000000" w:rsidRDefault="00000000" w:rsidRPr="00000000" w14:paraId="0000004D">
      <w:pPr>
        <w:rPr>
          <w:color w:val="26282a"/>
          <w:highlight w:val="white"/>
        </w:rPr>
      </w:pPr>
      <w:r w:rsidDel="00000000" w:rsidR="00000000" w:rsidRPr="00000000">
        <w:rPr>
          <w:color w:val="26282a"/>
          <w:highlight w:val="white"/>
          <w:rtl w:val="0"/>
        </w:rPr>
        <w:t xml:space="preserve">This is a minimal protocol/process that may be exceeded at any time based on the judgment of the involved patient care personnel. </w:t>
      </w:r>
    </w:p>
    <w:p w:rsidR="00000000" w:rsidDel="00000000" w:rsidP="00000000" w:rsidRDefault="00000000" w:rsidRPr="00000000" w14:paraId="0000004E">
      <w:pPr>
        <w:rPr>
          <w:color w:val="26282a"/>
          <w:highlight w:val="white"/>
        </w:rPr>
      </w:pPr>
      <w:r w:rsidDel="00000000" w:rsidR="00000000" w:rsidRPr="00000000">
        <w:rPr>
          <w:rtl w:val="0"/>
        </w:rPr>
      </w:r>
    </w:p>
    <w:p w:rsidR="00000000" w:rsidDel="00000000" w:rsidP="00000000" w:rsidRDefault="00000000" w:rsidRPr="00000000" w14:paraId="0000004F">
      <w:pPr>
        <w:rPr>
          <w:color w:val="26282a"/>
          <w:highlight w:val="white"/>
        </w:rPr>
      </w:pPr>
      <w:r w:rsidDel="00000000" w:rsidR="00000000" w:rsidRPr="00000000">
        <w:rPr>
          <w:color w:val="26282a"/>
          <w:highlight w:val="white"/>
          <w:rtl w:val="0"/>
        </w:rPr>
        <w:t xml:space="preserve">This protocol/process encourages high quality patient care but observing it cannot guarantee any specific patient outcome. </w:t>
      </w:r>
    </w:p>
    <w:p w:rsidR="00000000" w:rsidDel="00000000" w:rsidP="00000000" w:rsidRDefault="00000000" w:rsidRPr="00000000" w14:paraId="00000050">
      <w:pPr>
        <w:rPr>
          <w:color w:val="26282a"/>
          <w:highlight w:val="white"/>
        </w:rPr>
      </w:pPr>
      <w:r w:rsidDel="00000000" w:rsidR="00000000" w:rsidRPr="00000000">
        <w:rPr>
          <w:rtl w:val="0"/>
        </w:rPr>
      </w:r>
    </w:p>
    <w:p w:rsidR="00000000" w:rsidDel="00000000" w:rsidP="00000000" w:rsidRDefault="00000000" w:rsidRPr="00000000" w14:paraId="00000051">
      <w:pPr>
        <w:rPr/>
      </w:pPr>
      <w:r w:rsidDel="00000000" w:rsidR="00000000" w:rsidRPr="00000000">
        <w:rPr>
          <w:color w:val="26282a"/>
          <w:highlight w:val="white"/>
          <w:rtl w:val="0"/>
        </w:rPr>
        <w:t xml:space="preserve">This protocol/process is subject to revision from time to time, as warranted by the evolution of technology and practice.</w:t>
      </w:r>
      <w:r w:rsidDel="00000000" w:rsidR="00000000" w:rsidRPr="00000000">
        <w:rPr>
          <w:rtl w:val="0"/>
        </w:rPr>
      </w:r>
    </w:p>
    <w:p w:rsidR="00000000" w:rsidDel="00000000" w:rsidP="00000000" w:rsidRDefault="00000000" w:rsidRPr="00000000" w14:paraId="00000052">
      <w:pPr>
        <w:keepLines w:val="1"/>
        <w:spacing w:after="40" w:before="40" w:lineRule="auto"/>
        <w:ind w:left="720" w:hanging="720"/>
        <w:rPr>
          <w:color w:val="000000"/>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Review period: Review when changes occur or per institutional protocol.</w:t>
      </w:r>
    </w:p>
    <w:p w:rsidR="00000000" w:rsidDel="00000000" w:rsidP="00000000" w:rsidRDefault="00000000" w:rsidRPr="00000000" w14:paraId="00000054">
      <w:pPr>
        <w:rPr/>
      </w:pPr>
      <w:r w:rsidDel="00000000" w:rsidR="00000000" w:rsidRPr="00000000">
        <w:rPr>
          <w:rtl w:val="0"/>
        </w:rPr>
        <w:t xml:space="preserve">Original hard copies and computer copies of this protocol are stored under the supervision of the Chief Perfusionist, Department of Cardiovascular Perfusion. </w:t>
      </w:r>
    </w:p>
    <w:p w:rsidR="00000000" w:rsidDel="00000000" w:rsidP="00000000" w:rsidRDefault="00000000" w:rsidRPr="00000000" w14:paraId="00000055">
      <w:pPr>
        <w:rPr/>
      </w:pPr>
      <w:r w:rsidDel="00000000" w:rsidR="00000000" w:rsidRPr="00000000">
        <w:rPr>
          <w:rtl w:val="0"/>
        </w:rPr>
        <w:t xml:space="preserve">Documents relating to patient care standards are developed according to the accepted hospital standards.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rtl w:val="0"/>
        </w:rPr>
        <w:t xml:space="preserve">APPROVED BY: </w:t>
      </w:r>
      <w:r w:rsidDel="00000000" w:rsidR="00000000" w:rsidRPr="00000000">
        <w:rPr>
          <w:b w:val="0"/>
          <w:i w:val="1"/>
          <w:color w:val="ff0000"/>
          <w:rtl w:val="0"/>
        </w:rPr>
        <w:t xml:space="preserve">(signature of CMO and CNE only required)</w:t>
      </w:r>
      <w:r w:rsidDel="00000000" w:rsidR="00000000" w:rsidRPr="00000000">
        <w:rPr>
          <w:rtl w:val="0"/>
        </w:rPr>
      </w:r>
    </w:p>
    <w:tbl>
      <w:tblPr>
        <w:tblStyle w:val="Table2"/>
        <w:tblW w:w="9360.0" w:type="dxa"/>
        <w:jc w:val="left"/>
        <w:tblInd w:w="0.0" w:type="dxa"/>
        <w:tblLayout w:type="fixed"/>
        <w:tblLook w:val="0000"/>
      </w:tblPr>
      <w:tblGrid>
        <w:gridCol w:w="2808"/>
        <w:gridCol w:w="4860"/>
        <w:gridCol w:w="736"/>
        <w:gridCol w:w="956"/>
        <w:tblGridChange w:id="0">
          <w:tblGrid>
            <w:gridCol w:w="2808"/>
            <w:gridCol w:w="4860"/>
            <w:gridCol w:w="736"/>
            <w:gridCol w:w="956"/>
          </w:tblGrid>
        </w:tblGridChange>
      </w:tblGrid>
      <w:tr>
        <w:tc>
          <w:tcPr/>
          <w:p w:rsidR="00000000" w:rsidDel="00000000" w:rsidP="00000000" w:rsidRDefault="00000000" w:rsidRPr="00000000" w14:paraId="00000058">
            <w:pPr>
              <w:rPr/>
            </w:pPr>
            <w:bookmarkStart w:colFirst="0" w:colLast="0" w:name="_heading=h.2et92p0" w:id="4"/>
            <w:bookmarkEnd w:id="4"/>
            <w:r w:rsidDel="00000000" w:rsidR="00000000" w:rsidRPr="00000000">
              <w:rPr>
                <w:rtl w:val="0"/>
              </w:rPr>
              <w:t xml:space="preserve">Source:</w:t>
            </w:r>
          </w:p>
        </w:tc>
        <w:tc>
          <w:tcPr>
            <w:gridSpan w:val="3"/>
          </w:tcPr>
          <w:p w:rsidR="00000000" w:rsidDel="00000000" w:rsidP="00000000" w:rsidRDefault="00000000" w:rsidRPr="00000000" w14:paraId="00000059">
            <w:pPr>
              <w:rPr/>
            </w:pPr>
            <w:r w:rsidDel="00000000" w:rsidR="00000000" w:rsidRPr="00000000">
              <w:rPr>
                <w:color w:val="ff0000"/>
                <w:rtl w:val="0"/>
              </w:rPr>
              <w:t xml:space="preserve">(originating department/committee)</w:t>
            </w:r>
            <w:r w:rsidDel="00000000" w:rsidR="00000000" w:rsidRPr="00000000">
              <w:rPr>
                <w:rtl w:val="0"/>
              </w:rPr>
            </w:r>
          </w:p>
        </w:tc>
      </w:tr>
      <w:tr>
        <w:tc>
          <w:tcPr/>
          <w:p w:rsidR="00000000" w:rsidDel="00000000" w:rsidP="00000000" w:rsidRDefault="00000000" w:rsidRPr="00000000" w14:paraId="0000005C">
            <w:pPr>
              <w:rPr/>
            </w:pPr>
            <w:r w:rsidDel="00000000" w:rsidR="00000000" w:rsidRPr="00000000">
              <w:rPr>
                <w:rtl w:val="0"/>
              </w:rPr>
              <w:t xml:space="preserve">Effective Date:</w:t>
            </w:r>
          </w:p>
        </w:tc>
        <w:tc>
          <w:tcPr>
            <w:gridSpan w:val="3"/>
          </w:tcPr>
          <w:p w:rsidR="00000000" w:rsidDel="00000000" w:rsidP="00000000" w:rsidRDefault="00000000" w:rsidRPr="00000000" w14:paraId="0000005D">
            <w:pPr>
              <w:rPr>
                <w:color w:val="ff0000"/>
              </w:rPr>
            </w:pPr>
            <w:r w:rsidDel="00000000" w:rsidR="00000000" w:rsidRPr="00000000">
              <w:rPr>
                <w:color w:val="ff0000"/>
                <w:rtl w:val="0"/>
              </w:rPr>
              <w:t xml:space="preserve">(can use ‘created date’ for this)</w:t>
            </w:r>
          </w:p>
        </w:tc>
      </w:tr>
      <w:tr>
        <w:tc>
          <w:tcPr/>
          <w:p w:rsidR="00000000" w:rsidDel="00000000" w:rsidP="00000000" w:rsidRDefault="00000000" w:rsidRPr="00000000" w14:paraId="00000060">
            <w:pPr>
              <w:rPr/>
            </w:pPr>
            <w:r w:rsidDel="00000000" w:rsidR="00000000" w:rsidRPr="00000000">
              <w:rPr>
                <w:rtl w:val="0"/>
              </w:rPr>
              <w:t xml:space="preserve">Version Number:</w:t>
            </w:r>
          </w:p>
        </w:tc>
        <w:tc>
          <w:tcPr>
            <w:gridSpan w:val="3"/>
          </w:tcPr>
          <w:p w:rsidR="00000000" w:rsidDel="00000000" w:rsidP="00000000" w:rsidRDefault="00000000" w:rsidRPr="00000000" w14:paraId="00000061">
            <w:pPr>
              <w:rPr>
                <w:color w:val="ff0000"/>
              </w:rPr>
            </w:pPr>
            <w:r w:rsidDel="00000000" w:rsidR="00000000" w:rsidRPr="00000000">
              <w:rPr>
                <w:color w:val="ff0000"/>
                <w:rtl w:val="0"/>
              </w:rPr>
              <w:t xml:space="preserve">(should match # of revisions, use 1.0 if new document)</w:t>
            </w:r>
          </w:p>
        </w:tc>
      </w:tr>
      <w:tr>
        <w:tc>
          <w:tcPr/>
          <w:p w:rsidR="00000000" w:rsidDel="00000000" w:rsidP="00000000" w:rsidRDefault="00000000" w:rsidRPr="00000000" w14:paraId="00000064">
            <w:pPr>
              <w:rPr/>
            </w:pPr>
            <w:r w:rsidDel="00000000" w:rsidR="00000000" w:rsidRPr="00000000">
              <w:rPr>
                <w:rtl w:val="0"/>
              </w:rPr>
              <w:t xml:space="preserve">Date Revised:</w:t>
            </w:r>
          </w:p>
        </w:tc>
        <w:tc>
          <w:tcPr>
            <w:gridSpan w:val="3"/>
          </w:tcPr>
          <w:p w:rsidR="00000000" w:rsidDel="00000000" w:rsidP="00000000" w:rsidRDefault="00000000" w:rsidRPr="00000000" w14:paraId="00000065">
            <w:pPr>
              <w:pStyle w:val="Heading4"/>
              <w:rPr>
                <w:i w:val="0"/>
              </w:rPr>
            </w:pPr>
            <w:r w:rsidDel="00000000" w:rsidR="00000000" w:rsidRPr="00000000">
              <w:rPr>
                <w:i w:val="0"/>
                <w:rtl w:val="0"/>
              </w:rPr>
              <w:t xml:space="preserve">MM/YYYY; all dates any content changes were made</w:t>
            </w:r>
          </w:p>
        </w:tc>
      </w:tr>
      <w:tr>
        <w:tc>
          <w:tcPr/>
          <w:p w:rsidR="00000000" w:rsidDel="00000000" w:rsidP="00000000" w:rsidRDefault="00000000" w:rsidRPr="00000000" w14:paraId="00000068">
            <w:pPr>
              <w:rPr/>
            </w:pPr>
            <w:r w:rsidDel="00000000" w:rsidR="00000000" w:rsidRPr="00000000">
              <w:rPr>
                <w:rtl w:val="0"/>
              </w:rPr>
              <w:t xml:space="preserve">Date Reviewed:</w:t>
            </w:r>
          </w:p>
        </w:tc>
        <w:tc>
          <w:tcPr>
            <w:gridSpan w:val="3"/>
          </w:tcPr>
          <w:p w:rsidR="00000000" w:rsidDel="00000000" w:rsidP="00000000" w:rsidRDefault="00000000" w:rsidRPr="00000000" w14:paraId="00000069">
            <w:pPr>
              <w:rPr>
                <w:color w:val="ff0000"/>
              </w:rPr>
            </w:pPr>
            <w:r w:rsidDel="00000000" w:rsidR="00000000" w:rsidRPr="00000000">
              <w:rPr>
                <w:color w:val="ff0000"/>
                <w:rtl w:val="0"/>
              </w:rPr>
              <w:t xml:space="preserve">Amb. Care PPP:</w:t>
            </w:r>
          </w:p>
          <w:p w:rsidR="00000000" w:rsidDel="00000000" w:rsidP="00000000" w:rsidRDefault="00000000" w:rsidRPr="00000000" w14:paraId="0000006A">
            <w:pPr>
              <w:rPr>
                <w:color w:val="ff0000"/>
              </w:rPr>
            </w:pPr>
            <w:r w:rsidDel="00000000" w:rsidR="00000000" w:rsidRPr="00000000">
              <w:rPr>
                <w:color w:val="ff0000"/>
                <w:rtl w:val="0"/>
              </w:rPr>
              <w:t xml:space="preserve">QSOS:</w:t>
            </w:r>
          </w:p>
        </w:tc>
      </w:tr>
      <w:tr>
        <w:tc>
          <w:tcPr/>
          <w:p w:rsidR="00000000" w:rsidDel="00000000" w:rsidP="00000000" w:rsidRDefault="00000000" w:rsidRPr="00000000" w14:paraId="0000006D">
            <w:pPr>
              <w:rPr/>
            </w:pPr>
            <w:r w:rsidDel="00000000" w:rsidR="00000000" w:rsidRPr="00000000">
              <w:rPr>
                <w:rtl w:val="0"/>
              </w:rPr>
            </w:r>
          </w:p>
        </w:tc>
        <w:tc>
          <w:tcPr>
            <w:gridSpan w:val="3"/>
          </w:tcPr>
          <w:p w:rsidR="00000000" w:rsidDel="00000000" w:rsidP="00000000" w:rsidRDefault="00000000" w:rsidRPr="00000000" w14:paraId="0000006E">
            <w:pPr>
              <w:rPr>
                <w:i w:val="1"/>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c>
          <w:tcPr>
            <w:vAlign w:val="bottom"/>
          </w:tcPr>
          <w:p w:rsidR="00000000" w:rsidDel="00000000" w:rsidP="00000000" w:rsidRDefault="00000000" w:rsidRPr="00000000" w14:paraId="00000074">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75">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76">
            <w:pPr>
              <w:rPr/>
            </w:pPr>
            <w:r w:rsidDel="00000000" w:rsidR="00000000" w:rsidRPr="00000000">
              <w:rPr>
                <w:rtl w:val="0"/>
              </w:rPr>
              <w:t xml:space="preserve">&lt;Insert Name&gt;</w:t>
            </w:r>
          </w:p>
          <w:p w:rsidR="00000000" w:rsidDel="00000000" w:rsidP="00000000" w:rsidRDefault="00000000" w:rsidRPr="00000000" w14:paraId="00000077">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7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7A">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7B">
            <w:pPr>
              <w:rPr/>
            </w:pPr>
            <w:r w:rsidDel="00000000" w:rsidR="00000000" w:rsidRPr="00000000">
              <w:rPr>
                <w:rtl w:val="0"/>
              </w:rPr>
            </w:r>
          </w:p>
        </w:tc>
        <w:tc>
          <w:tcPr>
            <w:vAlign w:val="bottom"/>
          </w:tcPr>
          <w:p w:rsidR="00000000" w:rsidDel="00000000" w:rsidP="00000000" w:rsidRDefault="00000000" w:rsidRPr="00000000" w14:paraId="0000007D">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7E">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7F">
            <w:pPr>
              <w:rPr/>
            </w:pPr>
            <w:r w:rsidDel="00000000" w:rsidR="00000000" w:rsidRPr="00000000">
              <w:rPr>
                <w:rtl w:val="0"/>
              </w:rPr>
              <w:t xml:space="preserve">&lt;Insert Name&gt;</w:t>
            </w:r>
          </w:p>
          <w:p w:rsidR="00000000" w:rsidDel="00000000" w:rsidP="00000000" w:rsidRDefault="00000000" w:rsidRPr="00000000" w14:paraId="00000080">
            <w:pPr>
              <w:rPr/>
            </w:pPr>
            <w:r w:rsidDel="00000000" w:rsidR="00000000" w:rsidRPr="00000000">
              <w:rPr>
                <w:i w:val="1"/>
                <w:rtl w:val="0"/>
              </w:rPr>
              <w:t xml:space="preserve">&lt;Insert Title&gt;</w:t>
            </w:r>
            <w:r w:rsidDel="00000000" w:rsidR="00000000" w:rsidRPr="00000000">
              <w:rPr>
                <w:rtl w:val="0"/>
              </w:rPr>
            </w:r>
          </w:p>
        </w:tc>
        <w:tc>
          <w:tcPr>
            <w:vAlign w:val="bottom"/>
          </w:tcPr>
          <w:p w:rsidR="00000000" w:rsidDel="00000000" w:rsidP="00000000" w:rsidRDefault="00000000" w:rsidRPr="00000000" w14:paraId="0000008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3">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4">
            <w:pPr>
              <w:rPr/>
            </w:pPr>
            <w:r w:rsidDel="00000000" w:rsidR="00000000" w:rsidRPr="00000000">
              <w:rPr>
                <w:rtl w:val="0"/>
              </w:rPr>
            </w:r>
          </w:p>
        </w:tc>
        <w:tc>
          <w:tcPr>
            <w:vAlign w:val="bottom"/>
          </w:tcPr>
          <w:p w:rsidR="00000000" w:rsidDel="00000000" w:rsidP="00000000" w:rsidRDefault="00000000" w:rsidRPr="00000000" w14:paraId="00000086">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87">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88">
            <w:pPr>
              <w:rPr/>
            </w:pPr>
            <w:r w:rsidDel="00000000" w:rsidR="00000000" w:rsidRPr="00000000">
              <w:rPr>
                <w:rtl w:val="0"/>
              </w:rPr>
              <w:t xml:space="preserve">&lt;Insert Name&gt;</w:t>
            </w:r>
          </w:p>
          <w:p w:rsidR="00000000" w:rsidDel="00000000" w:rsidP="00000000" w:rsidRDefault="00000000" w:rsidRPr="00000000" w14:paraId="00000089">
            <w:pPr>
              <w:rPr/>
            </w:pPr>
            <w:r w:rsidDel="00000000" w:rsidR="00000000" w:rsidRPr="00000000">
              <w:rPr>
                <w:rtl w:val="0"/>
              </w:rPr>
              <w:t xml:space="preserve">&lt;Insert Hospital Name&gt; Chief Medical Officer</w:t>
            </w:r>
          </w:p>
        </w:tc>
        <w:tc>
          <w:tcPr>
            <w:vAlign w:val="bottom"/>
          </w:tcPr>
          <w:p w:rsidR="00000000" w:rsidDel="00000000" w:rsidP="00000000" w:rsidRDefault="00000000" w:rsidRPr="00000000" w14:paraId="0000008B">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C">
            <w:pPr>
              <w:rPr/>
            </w:pPr>
            <w:r w:rsidDel="00000000" w:rsidR="00000000" w:rsidRPr="00000000">
              <w:rPr>
                <w:rtl w:val="0"/>
              </w:rPr>
            </w:r>
          </w:p>
        </w:tc>
      </w:tr>
      <w:tr>
        <w:trPr>
          <w:trHeight w:val="552" w:hRule="atLeast"/>
        </w:trPr>
        <w:tc>
          <w:tcPr>
            <w:gridSpan w:val="2"/>
            <w:tcBorders>
              <w:bottom w:color="000000" w:space="0" w:sz="4" w:val="single"/>
            </w:tcBorders>
            <w:vAlign w:val="center"/>
          </w:tcPr>
          <w:p w:rsidR="00000000" w:rsidDel="00000000" w:rsidP="00000000" w:rsidRDefault="00000000" w:rsidRPr="00000000" w14:paraId="0000008D">
            <w:pPr>
              <w:rPr/>
            </w:pPr>
            <w:r w:rsidDel="00000000" w:rsidR="00000000" w:rsidRPr="00000000">
              <w:rPr>
                <w:rtl w:val="0"/>
              </w:rPr>
            </w:r>
          </w:p>
        </w:tc>
        <w:tc>
          <w:tcPr>
            <w:vAlign w:val="bottom"/>
          </w:tcPr>
          <w:p w:rsidR="00000000" w:rsidDel="00000000" w:rsidP="00000000" w:rsidRDefault="00000000" w:rsidRPr="00000000" w14:paraId="0000008F">
            <w:pPr>
              <w:rPr/>
            </w:pPr>
            <w:r w:rsidDel="00000000" w:rsidR="00000000" w:rsidRPr="00000000">
              <w:rPr>
                <w:rtl w:val="0"/>
              </w:rPr>
              <w:t xml:space="preserve">Date:</w:t>
            </w:r>
          </w:p>
        </w:tc>
        <w:tc>
          <w:tcPr>
            <w:tcBorders>
              <w:bottom w:color="000000" w:space="0" w:sz="4" w:val="single"/>
            </w:tcBorders>
          </w:tcPr>
          <w:p w:rsidR="00000000" w:rsidDel="00000000" w:rsidP="00000000" w:rsidRDefault="00000000" w:rsidRPr="00000000" w14:paraId="00000090">
            <w:pPr>
              <w:rPr/>
            </w:pPr>
            <w:r w:rsidDel="00000000" w:rsidR="00000000" w:rsidRPr="00000000">
              <w:rPr>
                <w:rtl w:val="0"/>
              </w:rPr>
            </w:r>
          </w:p>
        </w:tc>
      </w:tr>
      <w:tr>
        <w:trPr>
          <w:trHeight w:val="552" w:hRule="atLeast"/>
        </w:trPr>
        <w:tc>
          <w:tcPr>
            <w:gridSpan w:val="2"/>
            <w:tcBorders>
              <w:top w:color="000000" w:space="0" w:sz="4" w:val="single"/>
            </w:tcBorders>
            <w:vAlign w:val="center"/>
          </w:tcPr>
          <w:p w:rsidR="00000000" w:rsidDel="00000000" w:rsidP="00000000" w:rsidRDefault="00000000" w:rsidRPr="00000000" w14:paraId="00000091">
            <w:pPr>
              <w:rPr/>
            </w:pPr>
            <w:r w:rsidDel="00000000" w:rsidR="00000000" w:rsidRPr="00000000">
              <w:rPr>
                <w:rtl w:val="0"/>
              </w:rPr>
              <w:t xml:space="preserve">&lt;Insert Name&gt;</w:t>
            </w:r>
          </w:p>
          <w:p w:rsidR="00000000" w:rsidDel="00000000" w:rsidP="00000000" w:rsidRDefault="00000000" w:rsidRPr="00000000" w14:paraId="00000092">
            <w:pPr>
              <w:rPr/>
            </w:pPr>
            <w:r w:rsidDel="00000000" w:rsidR="00000000" w:rsidRPr="00000000">
              <w:rPr>
                <w:rtl w:val="0"/>
              </w:rPr>
              <w:t xml:space="preserve">&lt;Insert Hospital Name&gt; Chief Nursing Executive</w:t>
            </w:r>
          </w:p>
        </w:tc>
        <w:tc>
          <w:tcPr>
            <w:vAlign w:val="bottom"/>
          </w:tcPr>
          <w:p w:rsidR="00000000" w:rsidDel="00000000" w:rsidP="00000000" w:rsidRDefault="00000000" w:rsidRPr="00000000" w14:paraId="00000094">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5">
            <w:pPr>
              <w:rPr/>
            </w:pPr>
            <w:r w:rsidDel="00000000" w:rsidR="00000000" w:rsidRPr="00000000">
              <w:rPr>
                <w:rtl w:val="0"/>
              </w:rPr>
            </w:r>
          </w:p>
        </w:tc>
      </w:tr>
    </w:tb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i w:val="0"/>
          <w:smallCaps w:val="0"/>
          <w:strike w:val="0"/>
          <w:color w:val="00000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720" w:top="720" w:left="1440" w:right="1440"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w:t>
    </w:r>
    <w:r w:rsidDel="00000000" w:rsidR="00000000" w:rsidRPr="00000000">
      <w:rPr>
        <w:rtl w:val="0"/>
      </w:rPr>
      <w:t xml:space="preserve">Angiomax/Bivalirudin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dxa"/>
      <w:tblLayout w:type="fixed"/>
      <w:tblLook w:val="0000"/>
    </w:tblPr>
    <w:tblGrid>
      <w:gridCol w:w="5616"/>
      <w:gridCol w:w="429"/>
      <w:gridCol w:w="771"/>
      <w:gridCol w:w="2544"/>
      <w:tblGridChange w:id="0">
        <w:tblGrid>
          <w:gridCol w:w="5616"/>
          <w:gridCol w:w="429"/>
          <w:gridCol w:w="771"/>
          <w:gridCol w:w="2544"/>
        </w:tblGrid>
      </w:tblGridChange>
    </w:tblGrid>
    <w:tr>
      <w:trPr>
        <w:trHeight w:val="1260" w:hRule="atLeast"/>
      </w:trPr>
      <w:tc>
        <w:tcPr/>
        <w:p w:rsidR="00000000" w:rsidDel="00000000" w:rsidP="00000000" w:rsidRDefault="00000000" w:rsidRPr="00000000" w14:paraId="00000098">
          <w:pPr>
            <w:widowControl w:val="0"/>
            <w:rPr>
              <w:sz w:val="22"/>
              <w:szCs w:val="22"/>
            </w:rPr>
          </w:pPr>
          <w:r w:rsidDel="00000000" w:rsidR="00000000" w:rsidRPr="00000000">
            <w:rPr>
              <w:rtl w:val="0"/>
            </w:rPr>
          </w:r>
        </w:p>
        <w:p w:rsidR="00000000" w:rsidDel="00000000" w:rsidP="00000000" w:rsidRDefault="00000000" w:rsidRPr="00000000" w14:paraId="00000099">
          <w:pPr>
            <w:widowControl w:val="0"/>
            <w:jc w:val="center"/>
            <w:rPr>
              <w:sz w:val="22"/>
              <w:szCs w:val="22"/>
            </w:rPr>
          </w:pPr>
          <w:r w:rsidDel="00000000" w:rsidR="00000000" w:rsidRPr="00000000">
            <w:rPr>
              <w:sz w:val="22"/>
              <w:szCs w:val="22"/>
            </w:rPr>
            <w:drawing>
              <wp:inline distB="0" distT="0" distL="0" distR="0">
                <wp:extent cx="3429000" cy="904875"/>
                <wp:effectExtent b="0" l="0" r="0" t="0"/>
                <wp:docPr descr="A picture containing knife&#10;&#10;Description automatically generated" id="2" name="image1.png"/>
                <a:graphic>
                  <a:graphicData uri="http://schemas.openxmlformats.org/drawingml/2006/picture">
                    <pic:pic>
                      <pic:nvPicPr>
                        <pic:cNvPr descr="A picture containing knife&#10;&#10;Description automatically generated" id="0" name="image1.png"/>
                        <pic:cNvPicPr preferRelativeResize="0"/>
                      </pic:nvPicPr>
                      <pic:blipFill>
                        <a:blip r:embed="rId1"/>
                        <a:srcRect b="0" l="0" r="0" t="0"/>
                        <a:stretch>
                          <a:fillRect/>
                        </a:stretch>
                      </pic:blipFill>
                      <pic:spPr>
                        <a:xfrm>
                          <a:off x="0" y="0"/>
                          <a:ext cx="3429000" cy="9048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A">
          <w:pPr>
            <w:widowControl w:val="0"/>
            <w:rPr>
              <w:sz w:val="22"/>
              <w:szCs w:val="22"/>
            </w:rPr>
          </w:pPr>
          <w:r w:rsidDel="00000000" w:rsidR="00000000" w:rsidRPr="00000000">
            <w:rPr>
              <w:rtl w:val="0"/>
            </w:rPr>
          </w:r>
        </w:p>
      </w:tc>
      <w:tc>
        <w:tcPr>
          <w:gridSpan w:val="2"/>
          <w:vAlign w:val="center"/>
        </w:tcPr>
        <w:p w:rsidR="00000000" w:rsidDel="00000000" w:rsidP="00000000" w:rsidRDefault="00000000" w:rsidRPr="00000000" w14:paraId="0000009B">
          <w:pPr>
            <w:keepNext w:val="1"/>
            <w:spacing w:after="60" w:lineRule="auto"/>
            <w:ind w:right="-108"/>
            <w:jc w:val="right"/>
            <w:rPr>
              <w:b w:val="1"/>
              <w:sz w:val="28"/>
              <w:szCs w:val="28"/>
            </w:rPr>
          </w:pPr>
          <w:r w:rsidDel="00000000" w:rsidR="00000000" w:rsidRPr="00000000">
            <w:rPr>
              <w:b w:val="1"/>
              <w:sz w:val="28"/>
              <w:szCs w:val="28"/>
              <w:rtl w:val="0"/>
            </w:rPr>
            <w:t xml:space="preserve">Departmental Clinical Protocol Manual</w:t>
          </w:r>
        </w:p>
      </w:tc>
    </w:tr>
    <w:tr>
      <w:trPr>
        <w:trHeight w:val="343" w:hRule="atLeast"/>
      </w:trPr>
      <w:tc>
        <w:tcPr>
          <w:gridSpan w:val="3"/>
          <w:tcBorders>
            <w:top w:color="000000" w:space="0" w:sz="18" w:val="single"/>
            <w:bottom w:color="000000" w:space="0" w:sz="18" w:val="single"/>
          </w:tcBorders>
        </w:tcPr>
        <w:p w:rsidR="00000000" w:rsidDel="00000000" w:rsidP="00000000" w:rsidRDefault="00000000" w:rsidRPr="00000000" w14:paraId="0000009D">
          <w:pPr>
            <w:keepNext w:val="1"/>
            <w:tabs>
              <w:tab w:val="left" w:pos="4425"/>
            </w:tabs>
            <w:spacing w:after="240" w:before="240" w:line="280" w:lineRule="auto"/>
            <w:ind w:left="-108" w:firstLine="0"/>
            <w:rPr>
              <w:b w:val="1"/>
              <w:sz w:val="28"/>
              <w:szCs w:val="28"/>
            </w:rPr>
          </w:pPr>
          <w:r w:rsidDel="00000000" w:rsidR="00000000" w:rsidRPr="00000000">
            <w:rPr>
              <w:b w:val="1"/>
              <w:sz w:val="28"/>
              <w:szCs w:val="28"/>
              <w:rtl w:val="0"/>
            </w:rPr>
            <w:t xml:space="preserve">Clinical Protocol                                                  </w:t>
          </w:r>
        </w:p>
      </w:tc>
      <w:tc>
        <w:tcPr>
          <w:tcBorders>
            <w:top w:color="000000" w:space="0" w:sz="18" w:val="single"/>
            <w:bottom w:color="000000" w:space="0" w:sz="18" w:val="single"/>
          </w:tcBorders>
        </w:tcPr>
        <w:p w:rsidR="00000000" w:rsidDel="00000000" w:rsidP="00000000" w:rsidRDefault="00000000" w:rsidRPr="00000000" w14:paraId="000000A0">
          <w:pPr>
            <w:keepNext w:val="1"/>
            <w:keepLines w:val="0"/>
            <w:widowControl w:val="1"/>
            <w:pBdr>
              <w:top w:space="0" w:sz="0" w:val="nil"/>
              <w:left w:space="0" w:sz="0" w:val="nil"/>
              <w:bottom w:space="0" w:sz="0" w:val="nil"/>
              <w:right w:space="0" w:sz="0" w:val="nil"/>
              <w:between w:space="0" w:sz="0" w:val="nil"/>
            </w:pBdr>
            <w:shd w:fill="auto" w:val="clear"/>
            <w:tabs>
              <w:tab w:val="left" w:pos="4610"/>
            </w:tabs>
            <w:spacing w:after="240" w:before="240" w:line="280" w:lineRule="auto"/>
            <w:ind w:left="0" w:right="-9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CP.XX.xxx</w:t>
          </w:r>
        </w:p>
      </w:tc>
    </w:tr>
  </w:tb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rFonts w:ascii="Times New Roman" w:cs="Times New Roman" w:eastAsia="Times New Roman" w:hAnsi="Times New Roman"/>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720"/>
      </w:pPr>
      <w:rPr>
        <w:rFonts w:ascii="Times New Roman" w:cs="Times New Roman" w:eastAsia="Times New Roman" w:hAnsi="Times New Roman"/>
        <w:b w:val="0"/>
        <w:i w:val="0"/>
        <w:color w:val="000000"/>
        <w:sz w:val="24"/>
        <w:szCs w:val="24"/>
      </w:rPr>
    </w:lvl>
    <w:lvl w:ilvl="1">
      <w:start w:val="1"/>
      <w:numFmt w:val="decimal"/>
      <w:lvlText w:val="%2."/>
      <w:lvlJc w:val="left"/>
      <w:pPr>
        <w:ind w:left="1440" w:hanging="720"/>
      </w:pPr>
      <w:rPr>
        <w:rFonts w:ascii="Times New Roman" w:cs="Times New Roman" w:eastAsia="Times New Roman" w:hAnsi="Times New Roman"/>
        <w:b w:val="0"/>
        <w:i w:val="0"/>
        <w:color w:val="000000"/>
        <w:sz w:val="24"/>
        <w:szCs w:val="24"/>
      </w:rPr>
    </w:lvl>
    <w:lvl w:ilvl="2">
      <w:start w:val="1"/>
      <w:numFmt w:val="lowerLetter"/>
      <w:lvlText w:val="%3)"/>
      <w:lvlJc w:val="left"/>
      <w:pPr>
        <w:ind w:left="2160" w:hanging="720"/>
      </w:pPr>
      <w:rPr>
        <w:rFonts w:ascii="Times New Roman" w:cs="Times New Roman" w:eastAsia="Times New Roman" w:hAnsi="Times New Roman"/>
        <w:b w:val="0"/>
        <w:i w:val="0"/>
        <w:sz w:val="24"/>
        <w:szCs w:val="24"/>
      </w:rPr>
    </w:lvl>
    <w:lvl w:ilvl="3">
      <w:start w:val="1"/>
      <w:numFmt w:val="lowerRoman"/>
      <w:lvlText w:val="(%4)"/>
      <w:lvlJc w:val="left"/>
      <w:pPr>
        <w:ind w:left="2880" w:hanging="720"/>
      </w:pPr>
      <w:rPr>
        <w:rFonts w:ascii="Times New Roman" w:cs="Times New Roman" w:eastAsia="Times New Roman" w:hAnsi="Times New Roman"/>
        <w:b w:val="0"/>
        <w:i w:val="0"/>
        <w:color w:val="000000"/>
        <w:sz w:val="24"/>
        <w:szCs w:val="24"/>
      </w:rPr>
    </w:lvl>
    <w:lvl w:ilvl="4">
      <w:start w:val="1"/>
      <w:numFmt w:val="bullet"/>
      <w:lvlText w:val="−"/>
      <w:lvlJc w:val="left"/>
      <w:pPr>
        <w:ind w:left="3600" w:hanging="720"/>
      </w:pPr>
      <w:rPr>
        <w:rFonts w:ascii="Noto Sans Symbols" w:cs="Noto Sans Symbols" w:eastAsia="Noto Sans Symbols" w:hAnsi="Noto Sans Symbols"/>
      </w:rPr>
    </w:lvl>
    <w:lvl w:ilvl="5">
      <w:start w:val="1"/>
      <w:numFmt w:val="bullet"/>
      <w:lvlText w:val="▪"/>
      <w:lvlJc w:val="left"/>
      <w:pPr>
        <w:ind w:left="4320" w:hanging="720"/>
      </w:pPr>
      <w:rPr>
        <w:rFonts w:ascii="Noto Sans Symbols" w:cs="Noto Sans Symbols" w:eastAsia="Noto Sans Symbols" w:hAnsi="Noto Sans Symbols"/>
      </w:rPr>
    </w:lvl>
    <w:lvl w:ilvl="6">
      <w:start w:val="1"/>
      <w:numFmt w:val="bullet"/>
      <w:lvlText w:val="●"/>
      <w:lvlJc w:val="left"/>
      <w:pPr>
        <w:ind w:left="5040" w:hanging="720"/>
      </w:pPr>
      <w:rPr>
        <w:rFonts w:ascii="Noto Sans Symbols" w:cs="Noto Sans Symbols" w:eastAsia="Noto Sans Symbols" w:hAnsi="Noto Sans Symbols"/>
      </w:rPr>
    </w:lvl>
    <w:lvl w:ilvl="7">
      <w:start w:val="1"/>
      <w:numFmt w:val="bullet"/>
      <w:lvlText w:val="o"/>
      <w:lvlJc w:val="left"/>
      <w:pPr>
        <w:ind w:left="5760" w:hanging="720"/>
      </w:pPr>
      <w:rPr>
        <w:rFonts w:ascii="Courier New" w:cs="Courier New" w:eastAsia="Courier New" w:hAnsi="Courier New"/>
      </w:rPr>
    </w:lvl>
    <w:lvl w:ilvl="8">
      <w:start w:val="1"/>
      <w:numFmt w:val="bullet"/>
      <w:lvlText w:val="▪"/>
      <w:lvlJc w:val="left"/>
      <w:pPr>
        <w:ind w:left="6480" w:hanging="72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rPr>
  </w:style>
  <w:style w:type="paragraph" w:styleId="Heading2">
    <w:name w:val="heading 2"/>
    <w:basedOn w:val="Normal"/>
    <w:next w:val="Normal"/>
    <w:pPr>
      <w:keepNext w:val="1"/>
    </w:pPr>
    <w:rPr>
      <w:rFonts w:ascii="CG Times" w:cs="CG Times" w:eastAsia="CG Times" w:hAnsi="CG Times"/>
    </w:rPr>
  </w:style>
  <w:style w:type="paragraph" w:styleId="Heading3">
    <w:name w:val="heading 3"/>
    <w:basedOn w:val="Normal"/>
    <w:next w:val="Normal"/>
    <w:pPr>
      <w:tabs>
        <w:tab w:val="center" w:pos="4680"/>
        <w:tab w:val="right" w:pos="9360"/>
      </w:tabs>
      <w:ind w:left="1440" w:hanging="720"/>
    </w:pPr>
    <w:rPr/>
  </w:style>
  <w:style w:type="paragraph" w:styleId="Heading4">
    <w:name w:val="heading 4"/>
    <w:basedOn w:val="Normal"/>
    <w:next w:val="Normal"/>
    <w:pPr>
      <w:keepNext w:val="1"/>
    </w:pPr>
    <w:rPr>
      <w:i w:val="1"/>
      <w:color w:val="ff0000"/>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LVYZAk93Kvh3Vj4aAsju/Rmojg==">AMUW2mVSZ/OmLMKlIKM25FP8ANd7T59aHc11MM+9y/IdBziXjMBAR4/mzFXA68KEitOGmh4o0NCzylrD+Am5yf1Y3/cb6eTRYpY8DnR4/7KIAe3QyO4g4JoDZaV75mgbEyXqIPRBFNMdgf/ES8gzXIfJ0bvb381Kn85aMyyodjgw3d9VTrqIF9jJc+pM5DEZMXu68NEqDjGz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